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DE" w:rsidRPr="003A389F" w:rsidRDefault="00C04DDE" w:rsidP="00C04DDE">
      <w:pPr>
        <w:pStyle w:val="a3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A389F">
        <w:rPr>
          <w:rFonts w:ascii="Times New Roman" w:hAnsi="Times New Roman"/>
          <w:i/>
          <w:sz w:val="24"/>
          <w:szCs w:val="24"/>
          <w:lang w:val="uk-UA"/>
        </w:rPr>
        <w:t xml:space="preserve">Додаток </w:t>
      </w:r>
    </w:p>
    <w:p w:rsidR="00FD5A11" w:rsidRPr="00FD5A11" w:rsidRDefault="00C04DDE" w:rsidP="00C04DDE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3A389F">
        <w:rPr>
          <w:rFonts w:ascii="Times New Roman" w:hAnsi="Times New Roman"/>
          <w:i/>
          <w:sz w:val="24"/>
          <w:szCs w:val="24"/>
          <w:lang w:val="uk-UA"/>
        </w:rPr>
        <w:t xml:space="preserve">до рішення виконавчого </w:t>
      </w:r>
    </w:p>
    <w:p w:rsidR="00C04DDE" w:rsidRPr="003A389F" w:rsidRDefault="00C04DDE" w:rsidP="00C04DDE">
      <w:pPr>
        <w:pStyle w:val="a3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A389F">
        <w:rPr>
          <w:rFonts w:ascii="Times New Roman" w:hAnsi="Times New Roman"/>
          <w:i/>
          <w:sz w:val="24"/>
          <w:szCs w:val="24"/>
          <w:lang w:val="uk-UA"/>
        </w:rPr>
        <w:t>комітету</w:t>
      </w:r>
      <w:r w:rsidR="00FD5A11">
        <w:rPr>
          <w:rFonts w:ascii="Times New Roman" w:hAnsi="Times New Roman"/>
          <w:i/>
          <w:sz w:val="24"/>
          <w:szCs w:val="24"/>
          <w:lang w:val="uk-UA"/>
        </w:rPr>
        <w:t xml:space="preserve"> міської ради</w:t>
      </w:r>
    </w:p>
    <w:p w:rsidR="003A389F" w:rsidRPr="00FD5A11" w:rsidRDefault="00C04DDE" w:rsidP="00C04DDE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3A389F">
        <w:rPr>
          <w:rFonts w:ascii="Times New Roman" w:hAnsi="Times New Roman"/>
          <w:i/>
          <w:sz w:val="24"/>
          <w:szCs w:val="24"/>
          <w:lang w:val="uk-UA"/>
        </w:rPr>
        <w:t>від</w:t>
      </w:r>
      <w:r w:rsidR="00D81936" w:rsidRPr="003A389F">
        <w:rPr>
          <w:rFonts w:ascii="Times New Roman" w:hAnsi="Times New Roman"/>
          <w:i/>
          <w:sz w:val="24"/>
          <w:szCs w:val="24"/>
        </w:rPr>
        <w:t xml:space="preserve"> 13</w:t>
      </w:r>
      <w:r w:rsidR="00D81936" w:rsidRPr="00FD5A11">
        <w:rPr>
          <w:rFonts w:ascii="Times New Roman" w:hAnsi="Times New Roman"/>
          <w:i/>
          <w:sz w:val="24"/>
          <w:szCs w:val="24"/>
        </w:rPr>
        <w:t xml:space="preserve"> </w:t>
      </w:r>
      <w:r w:rsidRPr="003A389F">
        <w:rPr>
          <w:rFonts w:ascii="Times New Roman" w:hAnsi="Times New Roman"/>
          <w:i/>
          <w:sz w:val="24"/>
          <w:szCs w:val="24"/>
          <w:lang w:val="uk-UA"/>
        </w:rPr>
        <w:t xml:space="preserve">грудня 2019 р. №  </w:t>
      </w:r>
      <w:r w:rsidR="00D81936" w:rsidRPr="00FD5A11">
        <w:rPr>
          <w:rFonts w:ascii="Times New Roman" w:hAnsi="Times New Roman"/>
          <w:i/>
          <w:sz w:val="24"/>
          <w:szCs w:val="24"/>
        </w:rPr>
        <w:t>378</w:t>
      </w:r>
    </w:p>
    <w:p w:rsidR="00C04DDE" w:rsidRPr="006A40AB" w:rsidRDefault="00C04DDE" w:rsidP="00C04DDE">
      <w:pPr>
        <w:pStyle w:val="a3"/>
        <w:jc w:val="right"/>
        <w:rPr>
          <w:rFonts w:ascii="Times New Roman" w:hAnsi="Times New Roman"/>
          <w:lang w:val="uk-UA"/>
        </w:rPr>
      </w:pPr>
      <w:r w:rsidRPr="006A40AB">
        <w:rPr>
          <w:rFonts w:ascii="Times New Roman" w:hAnsi="Times New Roman"/>
          <w:lang w:val="uk-UA"/>
        </w:rPr>
        <w:t xml:space="preserve"> </w:t>
      </w:r>
    </w:p>
    <w:p w:rsidR="00C04DDE" w:rsidRDefault="00C04DDE" w:rsidP="00C04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C04DDE" w:rsidRDefault="00C04DDE" w:rsidP="00C0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4DDE" w:rsidRDefault="00C04DDE" w:rsidP="00C0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4DDE" w:rsidRDefault="00C04DDE" w:rsidP="00C0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E7862" w:rsidRPr="00C04DDE" w:rsidRDefault="00C04DDE" w:rsidP="00C0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4DD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5C76F1" w:rsidRPr="00DE7862" w:rsidRDefault="005C76F1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DE7862">
        <w:rPr>
          <w:rFonts w:ascii="Times New Roman" w:hAnsi="Times New Roman" w:cs="Times New Roman"/>
          <w:b/>
          <w:bCs/>
          <w:sz w:val="40"/>
          <w:szCs w:val="40"/>
        </w:rPr>
        <w:t>Програма</w:t>
      </w:r>
      <w:proofErr w:type="spellEnd"/>
    </w:p>
    <w:p w:rsidR="005C76F1" w:rsidRP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«ЦУКРОВИЙ </w:t>
      </w: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ДІАБЕТ»</w:t>
      </w:r>
    </w:p>
    <w:p w:rsidR="005C76F1" w:rsidRPr="00DE7862" w:rsidRDefault="005C76F1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E7862">
        <w:rPr>
          <w:rFonts w:ascii="Times New Roman" w:hAnsi="Times New Roman" w:cs="Times New Roman"/>
          <w:b/>
          <w:bCs/>
          <w:sz w:val="40"/>
          <w:szCs w:val="40"/>
        </w:rPr>
        <w:t>на 20</w:t>
      </w:r>
      <w:r w:rsidR="00DE7862" w:rsidRPr="00DE7862">
        <w:rPr>
          <w:rFonts w:ascii="Times New Roman" w:hAnsi="Times New Roman" w:cs="Times New Roman"/>
          <w:b/>
          <w:bCs/>
          <w:sz w:val="40"/>
          <w:szCs w:val="40"/>
          <w:lang w:val="uk-UA"/>
        </w:rPr>
        <w:t>20</w:t>
      </w:r>
      <w:r w:rsidRPr="00DE786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DE7862">
        <w:rPr>
          <w:rFonts w:ascii="Times New Roman" w:hAnsi="Times New Roman" w:cs="Times New Roman"/>
          <w:b/>
          <w:bCs/>
          <w:sz w:val="40"/>
          <w:szCs w:val="40"/>
        </w:rPr>
        <w:t>ік</w:t>
      </w:r>
      <w:proofErr w:type="spellEnd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DE7862" w:rsidRP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7862">
        <w:rPr>
          <w:rFonts w:ascii="Times New Roman" w:hAnsi="Times New Roman" w:cs="Times New Roman"/>
          <w:sz w:val="24"/>
          <w:szCs w:val="24"/>
          <w:lang w:val="uk-UA"/>
        </w:rPr>
        <w:t>м.Носівка</w:t>
      </w:r>
      <w:proofErr w:type="spellEnd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7862">
        <w:rPr>
          <w:rFonts w:ascii="Times New Roman" w:hAnsi="Times New Roman" w:cs="Times New Roman"/>
          <w:sz w:val="24"/>
          <w:szCs w:val="24"/>
        </w:rPr>
        <w:t xml:space="preserve"> </w:t>
      </w:r>
      <w:r w:rsidRPr="00DE7862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proofErr w:type="spellStart"/>
      <w:proofErr w:type="gramStart"/>
      <w:r w:rsidRPr="00DE786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E7862">
        <w:rPr>
          <w:rFonts w:ascii="Times New Roman" w:hAnsi="Times New Roman" w:cs="Times New Roman"/>
          <w:bCs/>
          <w:sz w:val="24"/>
          <w:szCs w:val="24"/>
        </w:rPr>
        <w:t>ік</w:t>
      </w:r>
      <w:proofErr w:type="spellEnd"/>
    </w:p>
    <w:p w:rsidR="00C04DDE" w:rsidRDefault="00C04DDE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04DDE" w:rsidRPr="00C04DDE" w:rsidRDefault="00C04DDE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E7862" w:rsidRPr="008F254A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31"/>
        <w:gridCol w:w="4694"/>
      </w:tblGrid>
      <w:tr w:rsidR="00DE7862" w:rsidRPr="0075104C" w:rsidTr="008F254A">
        <w:trPr>
          <w:trHeight w:val="323"/>
        </w:trPr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Ініціатор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DE7862" w:rsidRPr="004114CE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Законодавча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база</w:t>
            </w:r>
            <w:proofErr w:type="gramStart"/>
            <w:r w:rsidRPr="00C04DDE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C04DDE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, номер і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розпорядчого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документа про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нормативні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8F254A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постанови Кабінету Міністрів України від 17 серпня 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05 березня 2014 року №73 «Питання реалізації пілотного проекту щодо запровадження державного регулювання цін на препарати інсуліну», від 23 березня 2016 року №239 «Деякі питання відшкодування вартості препаратів інсуліну».</w:t>
            </w:r>
          </w:p>
        </w:tc>
      </w:tr>
      <w:tr w:rsidR="00DE7862" w:rsidRPr="00B44256" w:rsidTr="008F254A">
        <w:trPr>
          <w:trHeight w:val="469"/>
        </w:trPr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иконав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>ц</w:t>
            </w: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tabs>
                <w:tab w:val="left" w:pos="426"/>
                <w:tab w:val="left" w:pos="25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DE7862" w:rsidRPr="00935B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 Носівської міської ради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Аптечна мережа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2020 рік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джерела, не заборонені законодавством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необхідних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4DD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 погашення кредиторської заборгованості,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C04DD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тому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  <w:r w:rsidR="004114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000грн.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10.1.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4DD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04DDE">
              <w:rPr>
                <w:rFonts w:ascii="Times New Roman" w:hAnsi="Times New Roman"/>
                <w:sz w:val="28"/>
                <w:szCs w:val="28"/>
              </w:rPr>
              <w:t>іського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  <w:r w:rsidR="004114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000грн.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10.2.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Коштів державного бюджету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10.3.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E7862" w:rsidRDefault="00DE7862" w:rsidP="00C04D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uk-UA"/>
        </w:rPr>
      </w:pPr>
    </w:p>
    <w:p w:rsidR="00DE7862" w:rsidRPr="008F254A" w:rsidRDefault="00DE7862" w:rsidP="00DE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проблем, на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розв’язання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спрямована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тяжке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прогресуюче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дорогого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невпинно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молодша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вражаючи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Надзвичайна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іжнародним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співтовариством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61-ї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резолюцію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№61/225 по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важким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серйозну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людей, але і для економічного і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держав і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громади за даними КНП «Носівська ЦРЛ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ім.Ф.Я.Примака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близько 120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інсулінотерапії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потребою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невідкладному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вжитті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ільгового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аптечні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недостатнім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фінансуванням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>державного бюджету.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ідставами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: «Про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постанови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1998 року № 1303 «Про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безоплатного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пільгового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відпуску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за рецептами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амбулаторного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2014 року №73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ілотного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державного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2016 року №239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».</w:t>
      </w:r>
    </w:p>
    <w:p w:rsidR="008F254A" w:rsidRPr="008F254A" w:rsidRDefault="008F254A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B06CC5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Мета Програми</w:t>
      </w:r>
    </w:p>
    <w:p w:rsidR="00DE7862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sz w:val="28"/>
          <w:szCs w:val="28"/>
          <w:lang w:val="uk-UA"/>
        </w:rPr>
        <w:t>Метою програми є своєчасне забезпечення препаратами інсуліну хворих на цукровий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діабет, відшкодування вартості препаратів, зниження рівня захворюваності, зменшення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ускладнень, збільшення тривалості та поліпшення якості життя хворих на цукровий діабет.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шляхів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розв’язання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показники</w:t>
      </w:r>
      <w:proofErr w:type="spellEnd"/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результативності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lastRenderedPageBreak/>
        <w:t>Ухвалення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на: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пільгове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стовідсоткового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з 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>громади та</w:t>
      </w:r>
      <w:r w:rsidRPr="008F254A">
        <w:rPr>
          <w:rFonts w:ascii="Times New Roman" w:hAnsi="Times New Roman" w:cs="Times New Roman"/>
          <w:sz w:val="28"/>
          <w:szCs w:val="28"/>
        </w:rPr>
        <w:t xml:space="preserve"> за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аптечній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Обсяги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джерела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до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8F254A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F25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Default="008F254A" w:rsidP="00DE78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6.Строки та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етапи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- 20</w:t>
      </w:r>
      <w:r w:rsidR="008F254A" w:rsidRPr="008F25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розрахована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B06CC5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Очікувані результати</w:t>
      </w: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дасть змогу відшкодувати вартість препаратів інсуліну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аптечній мережі, що в свою чергу дасть можливість знизити соціальну напруженість серед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хворих на цукровий діабет, підвищити ефективність лікування та доступності медичної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 xml:space="preserve">допомоги, знизити смертність від ускладнень </w:t>
      </w:r>
      <w:proofErr w:type="spellStart"/>
      <w:r w:rsidRPr="00B06CC5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B06CC5">
        <w:rPr>
          <w:rFonts w:ascii="Times New Roman" w:hAnsi="Times New Roman" w:cs="Times New Roman"/>
          <w:sz w:val="28"/>
          <w:szCs w:val="28"/>
          <w:lang w:val="uk-UA"/>
        </w:rPr>
        <w:t>, зменшити кількість первинних виходів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на інвалідність внаслідок захворювання, а також створити умови для продовження та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поліпшення якості життя хворих на цукровий діабет.</w:t>
      </w:r>
    </w:p>
    <w:p w:rsidR="008F254A" w:rsidRPr="008F254A" w:rsidRDefault="008F254A" w:rsidP="00DE78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Координація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та контроль за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виконанням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Pr="006975A0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 w:val="48"/>
          <w:szCs w:val="48"/>
          <w:lang w:val="uk-UA"/>
        </w:rPr>
      </w:pPr>
      <w:r w:rsidRPr="008F254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Pr="008F25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8F25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ради з 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-економічного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975A0" w:rsidRPr="00B37BA1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з питань освіти, охорони здоров’я, соціального захисту, культури, ту</w:t>
      </w:r>
      <w:r w:rsidR="006975A0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ризму, молоді та спорту</w:t>
      </w:r>
      <w:r w:rsidR="006975A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Pr="00531825" w:rsidRDefault="00531825" w:rsidP="0053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1825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СЗН                                                 М.ОКСИМЕЦЬ</w:t>
      </w:r>
    </w:p>
    <w:p w:rsidR="0030747B" w:rsidRPr="00531825" w:rsidRDefault="00531825" w:rsidP="00531825">
      <w:pPr>
        <w:tabs>
          <w:tab w:val="left" w:pos="1065"/>
        </w:tabs>
        <w:rPr>
          <w:rFonts w:ascii="Times New Roman" w:hAnsi="Times New Roman" w:cs="Times New Roman"/>
          <w:lang w:val="uk-UA"/>
        </w:rPr>
      </w:pPr>
      <w:r w:rsidRPr="00531825">
        <w:rPr>
          <w:rFonts w:ascii="Times New Roman" w:hAnsi="Times New Roman" w:cs="Times New Roman"/>
          <w:lang w:val="uk-UA"/>
        </w:rPr>
        <w:tab/>
      </w:r>
    </w:p>
    <w:sectPr w:rsidR="0030747B" w:rsidRPr="00531825" w:rsidSect="008F25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1"/>
    <w:rsid w:val="0030747B"/>
    <w:rsid w:val="003A389F"/>
    <w:rsid w:val="004114CE"/>
    <w:rsid w:val="00531825"/>
    <w:rsid w:val="005C76F1"/>
    <w:rsid w:val="006975A0"/>
    <w:rsid w:val="008F254A"/>
    <w:rsid w:val="00AB11FA"/>
    <w:rsid w:val="00B06CC5"/>
    <w:rsid w:val="00C04DDE"/>
    <w:rsid w:val="00D81936"/>
    <w:rsid w:val="00DE7862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7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E78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7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E78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kerspravami</cp:lastModifiedBy>
  <cp:revision>7</cp:revision>
  <dcterms:created xsi:type="dcterms:W3CDTF">2019-12-02T11:51:00Z</dcterms:created>
  <dcterms:modified xsi:type="dcterms:W3CDTF">2019-12-17T08:21:00Z</dcterms:modified>
</cp:coreProperties>
</file>